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9AC8B" w14:textId="411866A1" w:rsidR="00CB1F1A" w:rsidRDefault="00CB1F1A" w:rsidP="00CB1F1A">
      <w:pPr>
        <w:pStyle w:val="MdHeading1"/>
        <w:spacing w:before="0" w:after="0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ANEXO VIII</w:t>
      </w:r>
    </w:p>
    <w:p w14:paraId="49473F9D" w14:textId="129593F4" w:rsidR="00941213" w:rsidRPr="00226AD5" w:rsidRDefault="00000000" w:rsidP="00226AD5">
      <w:pPr>
        <w:pStyle w:val="MdHeading1"/>
        <w:jc w:val="center"/>
        <w:rPr>
          <w:rFonts w:ascii="Verdana" w:hAnsi="Verdana"/>
          <w:sz w:val="20"/>
          <w:szCs w:val="20"/>
        </w:rPr>
      </w:pPr>
      <w:r w:rsidRPr="00226AD5">
        <w:rPr>
          <w:rFonts w:ascii="Verdana" w:hAnsi="Verdana"/>
          <w:sz w:val="20"/>
          <w:szCs w:val="20"/>
        </w:rPr>
        <w:t>JUSTIFICATIVA TÉCNICO-JURÍDICA PARA ADOÇÃO DA FORMA PRESENCIAL</w:t>
      </w:r>
    </w:p>
    <w:p w14:paraId="0C84734A" w14:textId="376A6E36" w:rsidR="00226AD5" w:rsidRDefault="00000000" w:rsidP="00226AD5">
      <w:pPr>
        <w:pStyle w:val="MdParagraph"/>
        <w:jc w:val="both"/>
        <w:rPr>
          <w:rFonts w:ascii="Verdana" w:hAnsi="Verdana"/>
          <w:sz w:val="20"/>
          <w:szCs w:val="20"/>
        </w:rPr>
      </w:pPr>
      <w:r w:rsidRPr="00226AD5">
        <w:rPr>
          <w:rStyle w:val="MdStrong"/>
          <w:rFonts w:ascii="Verdana" w:hAnsi="Verdana"/>
          <w:sz w:val="20"/>
          <w:szCs w:val="20"/>
        </w:rPr>
        <w:t>PROCESSO ADMINISTRATIVO Nº:</w:t>
      </w:r>
      <w:r w:rsidRPr="00226AD5">
        <w:rPr>
          <w:rFonts w:ascii="Verdana" w:hAnsi="Verdana"/>
          <w:sz w:val="20"/>
          <w:szCs w:val="20"/>
        </w:rPr>
        <w:t xml:space="preserve"> </w:t>
      </w:r>
      <w:r w:rsidR="00BA3791">
        <w:rPr>
          <w:rFonts w:ascii="Verdana" w:hAnsi="Verdana"/>
          <w:sz w:val="20"/>
          <w:szCs w:val="20"/>
        </w:rPr>
        <w:t>2117</w:t>
      </w:r>
      <w:r w:rsidRPr="00226AD5">
        <w:rPr>
          <w:rFonts w:ascii="Verdana" w:hAnsi="Verdana"/>
          <w:sz w:val="20"/>
          <w:szCs w:val="20"/>
        </w:rPr>
        <w:t>/202</w:t>
      </w:r>
      <w:r w:rsidR="00226AD5">
        <w:rPr>
          <w:rFonts w:ascii="Verdana" w:hAnsi="Verdana"/>
          <w:sz w:val="20"/>
          <w:szCs w:val="20"/>
        </w:rPr>
        <w:t>6</w:t>
      </w:r>
    </w:p>
    <w:p w14:paraId="4D60418D" w14:textId="0074836A" w:rsidR="00941213" w:rsidRPr="00226AD5" w:rsidRDefault="00000000" w:rsidP="00226AD5">
      <w:pPr>
        <w:pStyle w:val="MdParagraph"/>
        <w:jc w:val="both"/>
        <w:rPr>
          <w:rFonts w:ascii="Verdana" w:hAnsi="Verdana"/>
          <w:b/>
          <w:bCs/>
          <w:sz w:val="20"/>
          <w:szCs w:val="20"/>
        </w:rPr>
      </w:pPr>
      <w:r w:rsidRPr="00226AD5">
        <w:rPr>
          <w:rStyle w:val="MdStrong"/>
          <w:rFonts w:ascii="Verdana" w:hAnsi="Verdana"/>
          <w:sz w:val="20"/>
          <w:szCs w:val="20"/>
        </w:rPr>
        <w:t>OBJETO:</w:t>
      </w:r>
      <w:r w:rsidRPr="00226AD5">
        <w:rPr>
          <w:rFonts w:ascii="Verdana" w:hAnsi="Verdana"/>
          <w:sz w:val="20"/>
          <w:szCs w:val="20"/>
        </w:rPr>
        <w:t xml:space="preserve"> Permissão onerosa e temporária de uso de espaço destinado à exploração comercial, gestão e vendas de espaços (camarotes, tendas e parque de diversões) durante os festejos de 63 anos de emancipação de São Gabriel da Palha/ES.</w:t>
      </w:r>
      <w:r w:rsidRPr="00226AD5">
        <w:rPr>
          <w:rStyle w:val="MdBr"/>
          <w:rFonts w:ascii="Verdana" w:hAnsi="Verdana"/>
          <w:sz w:val="20"/>
          <w:szCs w:val="20"/>
        </w:rPr>
        <w:br/>
      </w:r>
      <w:r w:rsidRPr="00226AD5">
        <w:rPr>
          <w:rStyle w:val="MdStrong"/>
          <w:rFonts w:ascii="Verdana" w:hAnsi="Verdana"/>
          <w:sz w:val="20"/>
          <w:szCs w:val="20"/>
        </w:rPr>
        <w:t>MODALIDADE:</w:t>
      </w:r>
      <w:r w:rsidRPr="00226AD5">
        <w:rPr>
          <w:rFonts w:ascii="Verdana" w:hAnsi="Verdana"/>
          <w:sz w:val="20"/>
          <w:szCs w:val="20"/>
        </w:rPr>
        <w:t xml:space="preserve"> Concorrência (Lei Federal nº 14.133/2021).</w:t>
      </w:r>
    </w:p>
    <w:p w14:paraId="00BF9E0F" w14:textId="77777777" w:rsidR="00941213" w:rsidRPr="00226AD5" w:rsidRDefault="00941213" w:rsidP="00226AD5">
      <w:pPr>
        <w:pStyle w:val="MdSpace"/>
        <w:spacing w:after="60"/>
        <w:jc w:val="both"/>
        <w:rPr>
          <w:rFonts w:ascii="Verdana" w:hAnsi="Verdana"/>
          <w:sz w:val="20"/>
          <w:szCs w:val="20"/>
        </w:rPr>
      </w:pPr>
    </w:p>
    <w:p w14:paraId="25C0CF9A" w14:textId="77777777" w:rsidR="00941213" w:rsidRPr="00226AD5" w:rsidRDefault="00000000" w:rsidP="00226AD5">
      <w:pPr>
        <w:pStyle w:val="MdHeading3"/>
        <w:jc w:val="both"/>
        <w:rPr>
          <w:rFonts w:ascii="Verdana" w:hAnsi="Verdana"/>
          <w:sz w:val="20"/>
          <w:szCs w:val="20"/>
        </w:rPr>
      </w:pPr>
      <w:r w:rsidRPr="00226AD5">
        <w:rPr>
          <w:rFonts w:ascii="Verdana" w:hAnsi="Verdana"/>
          <w:sz w:val="20"/>
          <w:szCs w:val="20"/>
        </w:rPr>
        <w:t>1. DO FUNDAMENTO LEGAL E DA PREMISSA MOTIVADORA</w:t>
      </w:r>
    </w:p>
    <w:p w14:paraId="70E8FD7E" w14:textId="77777777" w:rsidR="00941213" w:rsidRPr="00226AD5" w:rsidRDefault="00000000" w:rsidP="00226AD5">
      <w:pPr>
        <w:pStyle w:val="MdParagraph"/>
        <w:jc w:val="both"/>
        <w:rPr>
          <w:rFonts w:ascii="Verdana" w:hAnsi="Verdana"/>
          <w:sz w:val="20"/>
          <w:szCs w:val="20"/>
        </w:rPr>
      </w:pPr>
      <w:r w:rsidRPr="00226AD5">
        <w:rPr>
          <w:rFonts w:ascii="Verdana" w:hAnsi="Verdana"/>
          <w:sz w:val="20"/>
          <w:szCs w:val="20"/>
        </w:rPr>
        <w:t xml:space="preserve">A presente exposição de motivos visa fundamentar a opção da Administração Pública Municipal pela realização da licitação sob a </w:t>
      </w:r>
      <w:r w:rsidRPr="00226AD5">
        <w:rPr>
          <w:rStyle w:val="MdStrong"/>
          <w:rFonts w:ascii="Verdana" w:hAnsi="Verdana"/>
          <w:sz w:val="20"/>
          <w:szCs w:val="20"/>
        </w:rPr>
        <w:t>forma presencial</w:t>
      </w:r>
      <w:r w:rsidRPr="00226AD5">
        <w:rPr>
          <w:rFonts w:ascii="Verdana" w:hAnsi="Verdana"/>
          <w:sz w:val="20"/>
          <w:szCs w:val="20"/>
        </w:rPr>
        <w:t xml:space="preserve">, em estrita observância ao disposto no </w:t>
      </w:r>
      <w:r w:rsidRPr="00226AD5">
        <w:rPr>
          <w:rStyle w:val="MdStrong"/>
          <w:rFonts w:ascii="Verdana" w:hAnsi="Verdana"/>
          <w:sz w:val="20"/>
          <w:szCs w:val="20"/>
        </w:rPr>
        <w:t>art. 17, § 2º, da Lei Federal nº 14.133/2021 (Nova Lei de Licitações e Contratos - NLLC)</w:t>
      </w:r>
      <w:r w:rsidRPr="00226AD5">
        <w:rPr>
          <w:rFonts w:ascii="Verdana" w:hAnsi="Verdana"/>
          <w:sz w:val="20"/>
          <w:szCs w:val="20"/>
        </w:rPr>
        <w:t>.</w:t>
      </w:r>
    </w:p>
    <w:p w14:paraId="197DDD44" w14:textId="77777777" w:rsidR="00941213" w:rsidRPr="00226AD5" w:rsidRDefault="00000000" w:rsidP="00226AD5">
      <w:pPr>
        <w:pStyle w:val="MdParagraph"/>
        <w:jc w:val="both"/>
        <w:rPr>
          <w:rFonts w:ascii="Verdana" w:hAnsi="Verdana"/>
          <w:sz w:val="20"/>
          <w:szCs w:val="20"/>
        </w:rPr>
      </w:pPr>
      <w:r w:rsidRPr="00226AD5">
        <w:rPr>
          <w:rFonts w:ascii="Verdana" w:hAnsi="Verdana"/>
          <w:sz w:val="20"/>
          <w:szCs w:val="20"/>
        </w:rPr>
        <w:t xml:space="preserve">Embora a legislação federal estabeleça a forma eletrônica como regra preferencial, o próprio texto legal, em prestígio ao </w:t>
      </w:r>
      <w:r w:rsidRPr="00226AD5">
        <w:rPr>
          <w:rStyle w:val="MdStrong"/>
          <w:rFonts w:ascii="Verdana" w:hAnsi="Verdana"/>
          <w:sz w:val="20"/>
          <w:szCs w:val="20"/>
        </w:rPr>
        <w:t>Princípio da Segregação de Funções</w:t>
      </w:r>
      <w:r w:rsidRPr="00226AD5">
        <w:rPr>
          <w:rFonts w:ascii="Verdana" w:hAnsi="Verdana"/>
          <w:sz w:val="20"/>
          <w:szCs w:val="20"/>
        </w:rPr>
        <w:t xml:space="preserve"> e à </w:t>
      </w:r>
      <w:r w:rsidRPr="00226AD5">
        <w:rPr>
          <w:rStyle w:val="MdStrong"/>
          <w:rFonts w:ascii="Verdana" w:hAnsi="Verdana"/>
          <w:sz w:val="20"/>
          <w:szCs w:val="20"/>
        </w:rPr>
        <w:t>Autonomia Administrativa</w:t>
      </w:r>
      <w:r w:rsidRPr="00226AD5">
        <w:rPr>
          <w:rFonts w:ascii="Verdana" w:hAnsi="Verdana"/>
          <w:sz w:val="20"/>
          <w:szCs w:val="20"/>
        </w:rPr>
        <w:t>, autoriza a adoção da forma presencial desde que motivada por circunstâncias fáticas e técnicas que demonstrem ser esta a via mais adequada para a seleção da proposta mais vantajosa e para a mitigação de riscos contratuais.</w:t>
      </w:r>
    </w:p>
    <w:p w14:paraId="2CD31CE4" w14:textId="77777777" w:rsidR="00941213" w:rsidRPr="00226AD5" w:rsidRDefault="00000000" w:rsidP="00226AD5">
      <w:pPr>
        <w:pStyle w:val="MdHeading3"/>
        <w:jc w:val="both"/>
        <w:rPr>
          <w:rFonts w:ascii="Verdana" w:hAnsi="Verdana"/>
          <w:sz w:val="20"/>
          <w:szCs w:val="20"/>
        </w:rPr>
      </w:pPr>
      <w:r w:rsidRPr="00226AD5">
        <w:rPr>
          <w:rFonts w:ascii="Verdana" w:hAnsi="Verdana"/>
          <w:sz w:val="20"/>
          <w:szCs w:val="20"/>
        </w:rPr>
        <w:t>2. DA NATUREZA DO OBJETO E DA COMPLEXIDADE TÉCNICO-OPERACIONAL</w:t>
      </w:r>
    </w:p>
    <w:p w14:paraId="3A08225B" w14:textId="77777777" w:rsidR="00941213" w:rsidRPr="00226AD5" w:rsidRDefault="00000000" w:rsidP="00226AD5">
      <w:pPr>
        <w:pStyle w:val="MdParagraph"/>
        <w:jc w:val="both"/>
        <w:rPr>
          <w:rFonts w:ascii="Verdana" w:hAnsi="Verdana"/>
          <w:sz w:val="20"/>
          <w:szCs w:val="20"/>
        </w:rPr>
      </w:pPr>
      <w:r w:rsidRPr="00226AD5">
        <w:rPr>
          <w:rFonts w:ascii="Verdana" w:hAnsi="Verdana"/>
          <w:sz w:val="20"/>
          <w:szCs w:val="20"/>
        </w:rPr>
        <w:t xml:space="preserve">O objeto desta licitação não se confunde com o fornecimento de bens comuns ou serviços padronizados. Trata-se de uma </w:t>
      </w:r>
      <w:r w:rsidRPr="00226AD5">
        <w:rPr>
          <w:rStyle w:val="MdStrong"/>
          <w:rFonts w:ascii="Verdana" w:hAnsi="Verdana"/>
          <w:sz w:val="20"/>
          <w:szCs w:val="20"/>
        </w:rPr>
        <w:t>Permissão Onerosa de Uso de Bem Público</w:t>
      </w:r>
      <w:r w:rsidRPr="00226AD5">
        <w:rPr>
          <w:rFonts w:ascii="Verdana" w:hAnsi="Verdana"/>
          <w:sz w:val="20"/>
          <w:szCs w:val="20"/>
        </w:rPr>
        <w:t xml:space="preserve"> que exige do particular uma operação logística complexa, envolvendo:</w:t>
      </w:r>
    </w:p>
    <w:p w14:paraId="651ADA7E" w14:textId="77777777" w:rsidR="00941213" w:rsidRPr="00226AD5" w:rsidRDefault="00941213" w:rsidP="00226AD5">
      <w:pPr>
        <w:pStyle w:val="MdSpace"/>
        <w:spacing w:after="60"/>
        <w:jc w:val="both"/>
        <w:rPr>
          <w:rFonts w:ascii="Verdana" w:hAnsi="Verdana"/>
          <w:sz w:val="20"/>
          <w:szCs w:val="20"/>
        </w:rPr>
      </w:pPr>
    </w:p>
    <w:p w14:paraId="523D0105" w14:textId="36FD4021" w:rsidR="00941213" w:rsidRPr="00226AD5" w:rsidRDefault="00000000" w:rsidP="00226AD5">
      <w:pPr>
        <w:pStyle w:val="MdListItem"/>
        <w:ind w:left="360" w:firstLine="0"/>
        <w:jc w:val="both"/>
        <w:rPr>
          <w:rFonts w:ascii="Verdana" w:hAnsi="Verdana"/>
          <w:sz w:val="20"/>
          <w:szCs w:val="20"/>
        </w:rPr>
      </w:pPr>
      <w:r w:rsidRPr="00226AD5">
        <w:rPr>
          <w:rStyle w:val="MdStrong"/>
          <w:rFonts w:ascii="Verdana" w:hAnsi="Verdana"/>
          <w:sz w:val="20"/>
          <w:szCs w:val="20"/>
        </w:rPr>
        <w:t>Engenharia e Segurança:</w:t>
      </w:r>
      <w:r w:rsidRPr="00226AD5">
        <w:rPr>
          <w:rFonts w:ascii="Verdana" w:hAnsi="Verdana"/>
          <w:sz w:val="20"/>
          <w:szCs w:val="20"/>
        </w:rPr>
        <w:t xml:space="preserve"> Montagem e desmontagem de estruturas de grande porte (camarotes) que demandam rigorosa observância a normas técnicas e de segurança contra incêndio e pânico.</w:t>
      </w:r>
    </w:p>
    <w:p w14:paraId="095CF037" w14:textId="77777777" w:rsidR="00941213" w:rsidRPr="00226AD5" w:rsidRDefault="00000000" w:rsidP="00226AD5">
      <w:pPr>
        <w:pStyle w:val="MdListItem"/>
        <w:ind w:left="360" w:firstLine="0"/>
        <w:jc w:val="both"/>
        <w:rPr>
          <w:rFonts w:ascii="Verdana" w:hAnsi="Verdana"/>
          <w:sz w:val="20"/>
          <w:szCs w:val="20"/>
        </w:rPr>
      </w:pPr>
      <w:r w:rsidRPr="00226AD5">
        <w:rPr>
          <w:rStyle w:val="MdStrong"/>
          <w:rFonts w:ascii="Verdana" w:hAnsi="Verdana"/>
          <w:sz w:val="20"/>
          <w:szCs w:val="20"/>
        </w:rPr>
        <w:t>Gestão de Fluxo e Riscos:</w:t>
      </w:r>
      <w:r w:rsidRPr="00226AD5">
        <w:rPr>
          <w:rFonts w:ascii="Verdana" w:hAnsi="Verdana"/>
          <w:sz w:val="20"/>
          <w:szCs w:val="20"/>
        </w:rPr>
        <w:t xml:space="preserve"> Administração de espaços comerciais em evento de massa, onde a falha operacional de um permissionário pode comprometer a integridade física dos munícipes e a imagem institucional do Município.</w:t>
      </w:r>
    </w:p>
    <w:p w14:paraId="4D7827D3" w14:textId="77777777" w:rsidR="00941213" w:rsidRPr="00226AD5" w:rsidRDefault="00000000" w:rsidP="00226AD5">
      <w:pPr>
        <w:pStyle w:val="MdListItem"/>
        <w:ind w:left="360" w:firstLine="0"/>
        <w:jc w:val="both"/>
        <w:rPr>
          <w:rFonts w:ascii="Verdana" w:hAnsi="Verdana"/>
          <w:sz w:val="20"/>
          <w:szCs w:val="20"/>
        </w:rPr>
      </w:pPr>
      <w:r w:rsidRPr="00226AD5">
        <w:rPr>
          <w:rStyle w:val="MdStrong"/>
          <w:rFonts w:ascii="Verdana" w:hAnsi="Verdana"/>
          <w:sz w:val="20"/>
          <w:szCs w:val="20"/>
        </w:rPr>
        <w:t>Especificidade Locacional:</w:t>
      </w:r>
      <w:r w:rsidRPr="00226AD5">
        <w:rPr>
          <w:rFonts w:ascii="Verdana" w:hAnsi="Verdana"/>
          <w:sz w:val="20"/>
          <w:szCs w:val="20"/>
        </w:rPr>
        <w:t xml:space="preserve"> A exploração comercial está adstrita a áreas geográficas específicas do Município, cujas particularidades topográficas e logísticas são melhor compreendidas e discutidas em ambiente presencial, permitindo esclarecimentos imediatos sobre o "layout" do evento.</w:t>
      </w:r>
    </w:p>
    <w:p w14:paraId="36865B72" w14:textId="77777777" w:rsidR="00941213" w:rsidRPr="00226AD5" w:rsidRDefault="00000000" w:rsidP="00226AD5">
      <w:pPr>
        <w:pStyle w:val="MdHeading3"/>
        <w:jc w:val="both"/>
        <w:rPr>
          <w:rFonts w:ascii="Verdana" w:hAnsi="Verdana"/>
          <w:sz w:val="20"/>
          <w:szCs w:val="20"/>
        </w:rPr>
      </w:pPr>
      <w:r w:rsidRPr="00226AD5">
        <w:rPr>
          <w:rFonts w:ascii="Verdana" w:hAnsi="Verdana"/>
          <w:sz w:val="20"/>
          <w:szCs w:val="20"/>
        </w:rPr>
        <w:t>3. DA MITIGAÇÃO DE RISCOS E BUSCA PELA EXEQUIBILIDADE</w:t>
      </w:r>
    </w:p>
    <w:p w14:paraId="5B6EEC1E" w14:textId="77777777" w:rsidR="00941213" w:rsidRPr="00226AD5" w:rsidRDefault="00000000" w:rsidP="00226AD5">
      <w:pPr>
        <w:pStyle w:val="MdParagraph"/>
        <w:jc w:val="both"/>
        <w:rPr>
          <w:rFonts w:ascii="Verdana" w:hAnsi="Verdana"/>
          <w:sz w:val="20"/>
          <w:szCs w:val="20"/>
        </w:rPr>
      </w:pPr>
      <w:r w:rsidRPr="00226AD5">
        <w:rPr>
          <w:rFonts w:ascii="Verdana" w:hAnsi="Verdana"/>
          <w:sz w:val="20"/>
          <w:szCs w:val="20"/>
        </w:rPr>
        <w:t xml:space="preserve">Conforme identificado no </w:t>
      </w:r>
      <w:r w:rsidRPr="00226AD5">
        <w:rPr>
          <w:rStyle w:val="MdStrong"/>
          <w:rFonts w:ascii="Verdana" w:hAnsi="Verdana"/>
          <w:sz w:val="20"/>
          <w:szCs w:val="20"/>
        </w:rPr>
        <w:t>Mapa de Riscos</w:t>
      </w:r>
      <w:r w:rsidRPr="00226AD5">
        <w:rPr>
          <w:rFonts w:ascii="Verdana" w:hAnsi="Verdana"/>
          <w:sz w:val="20"/>
          <w:szCs w:val="20"/>
        </w:rPr>
        <w:t xml:space="preserve"> e no </w:t>
      </w:r>
      <w:r w:rsidRPr="00226AD5">
        <w:rPr>
          <w:rStyle w:val="MdStrong"/>
          <w:rFonts w:ascii="Verdana" w:hAnsi="Verdana"/>
          <w:sz w:val="20"/>
          <w:szCs w:val="20"/>
        </w:rPr>
        <w:t>Estudo Técnico Preliminar (ETP)</w:t>
      </w:r>
      <w:r w:rsidRPr="00226AD5">
        <w:rPr>
          <w:rFonts w:ascii="Verdana" w:hAnsi="Verdana"/>
          <w:sz w:val="20"/>
          <w:szCs w:val="20"/>
        </w:rPr>
        <w:t xml:space="preserve">, a utilização do critério de julgamento de </w:t>
      </w:r>
      <w:r w:rsidRPr="00226AD5">
        <w:rPr>
          <w:rStyle w:val="MdStrong"/>
          <w:rFonts w:ascii="Verdana" w:hAnsi="Verdana"/>
          <w:sz w:val="20"/>
          <w:szCs w:val="20"/>
        </w:rPr>
        <w:t>"Maior Lance"</w:t>
      </w:r>
      <w:r w:rsidRPr="00226AD5">
        <w:rPr>
          <w:rFonts w:ascii="Verdana" w:hAnsi="Verdana"/>
          <w:sz w:val="20"/>
          <w:szCs w:val="20"/>
        </w:rPr>
        <w:t xml:space="preserve"> em ambiente eletrônico impessoal pode atrair licitantes "aventureiros" que, na busca pela arrematação, oferecem lances desproporcionais à realidade econômica do evento, culminando na posterior </w:t>
      </w:r>
      <w:r w:rsidRPr="00226AD5">
        <w:rPr>
          <w:rStyle w:val="MdStrong"/>
          <w:rFonts w:ascii="Verdana" w:hAnsi="Verdana"/>
          <w:sz w:val="20"/>
          <w:szCs w:val="20"/>
        </w:rPr>
        <w:t>inexecução contratual</w:t>
      </w:r>
      <w:r w:rsidRPr="00226AD5">
        <w:rPr>
          <w:rFonts w:ascii="Verdana" w:hAnsi="Verdana"/>
          <w:sz w:val="20"/>
          <w:szCs w:val="20"/>
        </w:rPr>
        <w:t>.</w:t>
      </w:r>
    </w:p>
    <w:p w14:paraId="04F55247" w14:textId="77777777" w:rsidR="00226AD5" w:rsidRDefault="00226AD5" w:rsidP="00226AD5">
      <w:pPr>
        <w:pStyle w:val="MdParagraph"/>
        <w:jc w:val="both"/>
        <w:rPr>
          <w:rFonts w:ascii="Verdana" w:hAnsi="Verdana"/>
          <w:sz w:val="20"/>
          <w:szCs w:val="20"/>
        </w:rPr>
      </w:pPr>
    </w:p>
    <w:p w14:paraId="4A9F115E" w14:textId="19F5C78E" w:rsidR="00941213" w:rsidRPr="00226AD5" w:rsidRDefault="00000000" w:rsidP="00226AD5">
      <w:pPr>
        <w:pStyle w:val="MdParagraph"/>
        <w:jc w:val="both"/>
        <w:rPr>
          <w:rFonts w:ascii="Verdana" w:hAnsi="Verdana"/>
          <w:sz w:val="20"/>
          <w:szCs w:val="20"/>
        </w:rPr>
      </w:pPr>
      <w:r w:rsidRPr="00226AD5">
        <w:rPr>
          <w:rFonts w:ascii="Verdana" w:hAnsi="Verdana"/>
          <w:sz w:val="20"/>
          <w:szCs w:val="20"/>
        </w:rPr>
        <w:t>A sessão presencial permite:</w:t>
      </w:r>
    </w:p>
    <w:p w14:paraId="536A29CD" w14:textId="77777777" w:rsidR="00941213" w:rsidRPr="00226AD5" w:rsidRDefault="00000000" w:rsidP="00226AD5">
      <w:pPr>
        <w:pStyle w:val="MdListItem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226AD5">
        <w:rPr>
          <w:rStyle w:val="MdStrong"/>
          <w:rFonts w:ascii="Verdana" w:hAnsi="Verdana"/>
          <w:sz w:val="20"/>
          <w:szCs w:val="20"/>
        </w:rPr>
        <w:t>Verificação Imediata da Consistência:</w:t>
      </w:r>
      <w:r w:rsidRPr="00226AD5">
        <w:rPr>
          <w:rFonts w:ascii="Verdana" w:hAnsi="Verdana"/>
          <w:sz w:val="20"/>
          <w:szCs w:val="20"/>
        </w:rPr>
        <w:t xml:space="preserve"> O Presidente da Comissão ou Agente de Contratação pode questionar o licitante sobre a origem e viabilidade do lance, prevenindo a seleção de propostas "aventureiras".</w:t>
      </w:r>
    </w:p>
    <w:p w14:paraId="2AD27178" w14:textId="77777777" w:rsidR="00941213" w:rsidRPr="00226AD5" w:rsidRDefault="00000000" w:rsidP="00226AD5">
      <w:pPr>
        <w:pStyle w:val="MdListItem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226AD5">
        <w:rPr>
          <w:rStyle w:val="MdStrong"/>
          <w:rFonts w:ascii="Verdana" w:hAnsi="Verdana"/>
          <w:sz w:val="20"/>
          <w:szCs w:val="20"/>
        </w:rPr>
        <w:lastRenderedPageBreak/>
        <w:t>Negociação Direta e Eficaz:</w:t>
      </w:r>
      <w:r w:rsidRPr="00226AD5">
        <w:rPr>
          <w:rFonts w:ascii="Verdana" w:hAnsi="Verdana"/>
          <w:sz w:val="20"/>
          <w:szCs w:val="20"/>
        </w:rPr>
        <w:t xml:space="preserve"> Facilita a etapa de lances e negociação (art. 61 da Lei 14.133/2021), garantindo que o valor final seja condizente com o mercado regional e com a robustez necessária para a execução.</w:t>
      </w:r>
    </w:p>
    <w:p w14:paraId="52660737" w14:textId="77777777" w:rsidR="00941213" w:rsidRPr="00226AD5" w:rsidRDefault="00000000" w:rsidP="00226AD5">
      <w:pPr>
        <w:pStyle w:val="MdHeading3"/>
        <w:jc w:val="both"/>
        <w:rPr>
          <w:rFonts w:ascii="Verdana" w:hAnsi="Verdana"/>
          <w:sz w:val="20"/>
          <w:szCs w:val="20"/>
        </w:rPr>
      </w:pPr>
      <w:r w:rsidRPr="00226AD5">
        <w:rPr>
          <w:rFonts w:ascii="Verdana" w:hAnsi="Verdana"/>
          <w:sz w:val="20"/>
          <w:szCs w:val="20"/>
        </w:rPr>
        <w:t>4. DA AMPLA COMPETITIVIDADE E MERCADO REGIONAL</w:t>
      </w:r>
    </w:p>
    <w:p w14:paraId="2F2FA059" w14:textId="4C0A020B" w:rsidR="00941213" w:rsidRPr="00226AD5" w:rsidRDefault="00000000" w:rsidP="00226AD5">
      <w:pPr>
        <w:pStyle w:val="MdParagraph"/>
        <w:jc w:val="both"/>
        <w:rPr>
          <w:rFonts w:ascii="Verdana" w:hAnsi="Verdana"/>
          <w:sz w:val="20"/>
          <w:szCs w:val="20"/>
        </w:rPr>
      </w:pPr>
      <w:r w:rsidRPr="00226AD5">
        <w:rPr>
          <w:rFonts w:ascii="Verdana" w:hAnsi="Verdana"/>
          <w:sz w:val="20"/>
          <w:szCs w:val="20"/>
        </w:rPr>
        <w:t xml:space="preserve">O mercado de eventos na região norte do Espírito Santo possui características marcantes de atuação local e regional. A forma presencial, longe de restringir, </w:t>
      </w:r>
      <w:r w:rsidRPr="00226AD5">
        <w:rPr>
          <w:rStyle w:val="MdStrong"/>
          <w:rFonts w:ascii="Verdana" w:hAnsi="Verdana"/>
          <w:sz w:val="20"/>
          <w:szCs w:val="20"/>
        </w:rPr>
        <w:t>fomenta a participação</w:t>
      </w:r>
      <w:r w:rsidRPr="00226AD5">
        <w:rPr>
          <w:rFonts w:ascii="Verdana" w:hAnsi="Verdana"/>
          <w:sz w:val="20"/>
          <w:szCs w:val="20"/>
        </w:rPr>
        <w:t xml:space="preserve"> desses atores econômicos que detêm a logística necessária (maquinário, pessoal e estruturas) já mobilizada na região. </w:t>
      </w:r>
    </w:p>
    <w:p w14:paraId="5127483A" w14:textId="77777777" w:rsidR="00941213" w:rsidRPr="00226AD5" w:rsidRDefault="00941213" w:rsidP="00226AD5">
      <w:pPr>
        <w:pStyle w:val="MdSpace"/>
        <w:spacing w:after="60"/>
        <w:jc w:val="both"/>
        <w:rPr>
          <w:rFonts w:ascii="Verdana" w:hAnsi="Verdana"/>
          <w:sz w:val="20"/>
          <w:szCs w:val="20"/>
        </w:rPr>
      </w:pPr>
    </w:p>
    <w:p w14:paraId="6B0AC75D" w14:textId="77777777" w:rsidR="00941213" w:rsidRPr="00226AD5" w:rsidRDefault="00000000" w:rsidP="00226AD5">
      <w:pPr>
        <w:pStyle w:val="MdParagraph"/>
        <w:jc w:val="both"/>
        <w:rPr>
          <w:rFonts w:ascii="Verdana" w:hAnsi="Verdana"/>
          <w:sz w:val="20"/>
          <w:szCs w:val="20"/>
        </w:rPr>
      </w:pPr>
      <w:r w:rsidRPr="00226AD5">
        <w:rPr>
          <w:rFonts w:ascii="Verdana" w:hAnsi="Verdana"/>
          <w:sz w:val="20"/>
          <w:szCs w:val="20"/>
        </w:rPr>
        <w:t>A interação direta reduz assimetrias de informação, garantindo que todos os licitantes compreendam perfeitamente as obrigações acessórias (limpeza, segurança, prazos de montagem) que são cruciais para o sucesso dos festejos de emancipação.</w:t>
      </w:r>
    </w:p>
    <w:p w14:paraId="693EF70A" w14:textId="77777777" w:rsidR="00941213" w:rsidRPr="00226AD5" w:rsidRDefault="00000000" w:rsidP="00226AD5">
      <w:pPr>
        <w:pStyle w:val="MdHeading3"/>
        <w:jc w:val="both"/>
        <w:rPr>
          <w:rFonts w:ascii="Verdana" w:hAnsi="Verdana"/>
          <w:sz w:val="20"/>
          <w:szCs w:val="20"/>
        </w:rPr>
      </w:pPr>
      <w:r w:rsidRPr="00226AD5">
        <w:rPr>
          <w:rFonts w:ascii="Verdana" w:hAnsi="Verdana"/>
          <w:sz w:val="20"/>
          <w:szCs w:val="20"/>
        </w:rPr>
        <w:t>5. DA TRANSPARÊNCIA E PUBLICIDADE (ART. 17, § 2º, I)</w:t>
      </w:r>
    </w:p>
    <w:p w14:paraId="2F982961" w14:textId="77777777" w:rsidR="00941213" w:rsidRPr="00226AD5" w:rsidRDefault="00000000" w:rsidP="00226AD5">
      <w:pPr>
        <w:pStyle w:val="MdParagraph"/>
        <w:jc w:val="both"/>
        <w:rPr>
          <w:rFonts w:ascii="Verdana" w:hAnsi="Verdana"/>
          <w:sz w:val="20"/>
          <w:szCs w:val="20"/>
        </w:rPr>
      </w:pPr>
      <w:r w:rsidRPr="00226AD5">
        <w:rPr>
          <w:rFonts w:ascii="Verdana" w:hAnsi="Verdana"/>
          <w:sz w:val="20"/>
          <w:szCs w:val="20"/>
        </w:rPr>
        <w:t>Para assegurar a total lisura e conformidade com a NLLC, a Administração Municipal garante que:</w:t>
      </w:r>
    </w:p>
    <w:p w14:paraId="7B78338B" w14:textId="77777777" w:rsidR="00941213" w:rsidRPr="00226AD5" w:rsidRDefault="00000000" w:rsidP="00226AD5">
      <w:pPr>
        <w:pStyle w:val="MdListItem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226AD5">
        <w:rPr>
          <w:rFonts w:ascii="Verdana" w:hAnsi="Verdana"/>
          <w:sz w:val="20"/>
          <w:szCs w:val="20"/>
        </w:rPr>
        <w:t xml:space="preserve">A sessão pública será </w:t>
      </w:r>
      <w:r w:rsidRPr="00226AD5">
        <w:rPr>
          <w:rStyle w:val="MdStrong"/>
          <w:rFonts w:ascii="Verdana" w:hAnsi="Verdana"/>
          <w:sz w:val="20"/>
          <w:szCs w:val="20"/>
        </w:rPr>
        <w:t>registrada em ata</w:t>
      </w:r>
      <w:r w:rsidRPr="00226AD5">
        <w:rPr>
          <w:rFonts w:ascii="Verdana" w:hAnsi="Verdana"/>
          <w:sz w:val="20"/>
          <w:szCs w:val="20"/>
        </w:rPr>
        <w:t xml:space="preserve"> e </w:t>
      </w:r>
      <w:r w:rsidRPr="00226AD5">
        <w:rPr>
          <w:rStyle w:val="MdStrong"/>
          <w:rFonts w:ascii="Verdana" w:hAnsi="Verdana"/>
          <w:sz w:val="20"/>
          <w:szCs w:val="20"/>
        </w:rPr>
        <w:t>gravada em áudio e vídeo</w:t>
      </w:r>
      <w:r w:rsidRPr="00226AD5">
        <w:rPr>
          <w:rFonts w:ascii="Verdana" w:hAnsi="Verdana"/>
          <w:sz w:val="20"/>
          <w:szCs w:val="20"/>
        </w:rPr>
        <w:t>, com a respectiva juntada aos autos, conforme determina o inciso I do § 2º do art. 17 da Lei nº 14.133/2021.</w:t>
      </w:r>
    </w:p>
    <w:p w14:paraId="4D5E5C5F" w14:textId="77777777" w:rsidR="00941213" w:rsidRPr="00226AD5" w:rsidRDefault="00000000" w:rsidP="00226AD5">
      <w:pPr>
        <w:pStyle w:val="MdListItem"/>
        <w:numPr>
          <w:ilvl w:val="0"/>
          <w:numId w:val="3"/>
        </w:numPr>
        <w:jc w:val="both"/>
        <w:rPr>
          <w:rFonts w:ascii="Verdana" w:hAnsi="Verdana"/>
          <w:sz w:val="20"/>
          <w:szCs w:val="20"/>
        </w:rPr>
      </w:pPr>
      <w:r w:rsidRPr="00226AD5">
        <w:rPr>
          <w:rFonts w:ascii="Verdana" w:hAnsi="Verdana"/>
          <w:sz w:val="20"/>
          <w:szCs w:val="20"/>
        </w:rPr>
        <w:t>Todos os atos serão publicados no Portal Nacional de Contratações Públicas (PNCP) e no Diário Oficial, garantindo o controle social e a transparência administrativa.</w:t>
      </w:r>
    </w:p>
    <w:p w14:paraId="08A46C70" w14:textId="77777777" w:rsidR="00941213" w:rsidRPr="00226AD5" w:rsidRDefault="00000000" w:rsidP="00226AD5">
      <w:pPr>
        <w:pStyle w:val="MdHeading3"/>
        <w:jc w:val="both"/>
        <w:rPr>
          <w:rFonts w:ascii="Verdana" w:hAnsi="Verdana"/>
          <w:sz w:val="20"/>
          <w:szCs w:val="20"/>
        </w:rPr>
      </w:pPr>
      <w:r w:rsidRPr="00226AD5">
        <w:rPr>
          <w:rFonts w:ascii="Verdana" w:hAnsi="Verdana"/>
          <w:sz w:val="20"/>
          <w:szCs w:val="20"/>
        </w:rPr>
        <w:t>6. CONCLUSÃO</w:t>
      </w:r>
    </w:p>
    <w:p w14:paraId="7076031F" w14:textId="77777777" w:rsidR="001E635C" w:rsidRDefault="001E635C" w:rsidP="001E635C">
      <w:pPr>
        <w:pStyle w:val="Corpodetexto"/>
        <w:jc w:val="both"/>
      </w:pPr>
      <w:r>
        <w:rPr>
          <w:rFonts w:ascii="Verdana" w:hAnsi="Verdana"/>
          <w:sz w:val="20"/>
          <w:szCs w:val="20"/>
        </w:rPr>
        <w:t xml:space="preserve">A realização do certame na forma presencial se revela, portanto, medida adequada para </w:t>
      </w:r>
      <w:r>
        <w:rPr>
          <w:rStyle w:val="Forte"/>
          <w:rFonts w:ascii="Verdana" w:hAnsi="Verdana"/>
          <w:sz w:val="20"/>
          <w:szCs w:val="20"/>
        </w:rPr>
        <w:t>mitigar tais riscos</w:t>
      </w:r>
      <w:r>
        <w:rPr>
          <w:rFonts w:ascii="Verdana" w:hAnsi="Verdana"/>
          <w:sz w:val="20"/>
          <w:szCs w:val="20"/>
        </w:rPr>
        <w:t>, na medida em que:</w:t>
      </w:r>
    </w:p>
    <w:p w14:paraId="7A62A947" w14:textId="77777777" w:rsidR="001E635C" w:rsidRDefault="001E635C" w:rsidP="001E635C">
      <w:pPr>
        <w:pStyle w:val="Corpodetexto"/>
        <w:numPr>
          <w:ilvl w:val="0"/>
          <w:numId w:val="4"/>
        </w:numPr>
        <w:tabs>
          <w:tab w:val="clear" w:pos="709"/>
          <w:tab w:val="left" w:pos="0"/>
        </w:tabs>
        <w:spacing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possibilita maior controle e segurança na condução da fase de habilitação; </w:t>
      </w:r>
    </w:p>
    <w:p w14:paraId="36051416" w14:textId="77777777" w:rsidR="001E635C" w:rsidRDefault="001E635C" w:rsidP="001E635C">
      <w:pPr>
        <w:pStyle w:val="Corpodetexto"/>
        <w:numPr>
          <w:ilvl w:val="0"/>
          <w:numId w:val="4"/>
        </w:numPr>
        <w:tabs>
          <w:tab w:val="clear" w:pos="709"/>
          <w:tab w:val="left" w:pos="0"/>
        </w:tabs>
        <w:spacing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permite a verificação mais imediata da consistência das propostas apresentadas; </w:t>
      </w:r>
    </w:p>
    <w:p w14:paraId="7BE05D3D" w14:textId="77777777" w:rsidR="001E635C" w:rsidRDefault="001E635C" w:rsidP="001E635C">
      <w:pPr>
        <w:pStyle w:val="Corpodetexto"/>
        <w:numPr>
          <w:ilvl w:val="0"/>
          <w:numId w:val="4"/>
        </w:numPr>
        <w:tabs>
          <w:tab w:val="clear" w:pos="709"/>
          <w:tab w:val="left" w:pos="0"/>
        </w:tabs>
        <w:spacing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favorece a interação direta entre a Administração e os licitantes, com esclarecimentos em tempo real; </w:t>
      </w:r>
    </w:p>
    <w:p w14:paraId="6965F7C6" w14:textId="77777777" w:rsidR="001E635C" w:rsidRDefault="001E635C" w:rsidP="001E635C">
      <w:pPr>
        <w:pStyle w:val="Corpodetexto"/>
        <w:numPr>
          <w:ilvl w:val="0"/>
          <w:numId w:val="4"/>
        </w:numPr>
        <w:tabs>
          <w:tab w:val="clear" w:pos="709"/>
          <w:tab w:val="left" w:pos="0"/>
        </w:tabs>
        <w:spacing w:before="0"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amplia a efetividade da etapa de lances, reduzindo a ocorrência de ofertas artificiais ou desvinculadas da realidade de mercado; </w:t>
      </w:r>
    </w:p>
    <w:p w14:paraId="07DF68A2" w14:textId="77777777" w:rsidR="001E635C" w:rsidRPr="001E635C" w:rsidRDefault="001E635C" w:rsidP="001E635C">
      <w:pPr>
        <w:pStyle w:val="Corpodetexto"/>
        <w:numPr>
          <w:ilvl w:val="0"/>
          <w:numId w:val="4"/>
        </w:numPr>
        <w:tabs>
          <w:tab w:val="clear" w:pos="709"/>
          <w:tab w:val="left" w:pos="0"/>
        </w:tabs>
        <w:spacing w:before="0" w:after="0"/>
        <w:jc w:val="both"/>
        <w:rPr>
          <w:rFonts w:ascii="Verdana" w:hAnsi="Verdana"/>
          <w:sz w:val="20"/>
          <w:szCs w:val="20"/>
        </w:rPr>
      </w:pPr>
      <w:r w:rsidRPr="001E635C">
        <w:rPr>
          <w:rFonts w:ascii="Verdana" w:hAnsi="Verdana"/>
          <w:sz w:val="20"/>
          <w:szCs w:val="20"/>
        </w:rPr>
        <w:t>viabiliza a negociação direta com o licitante melhor classificado, em busca da proposta mais vantajosa.</w:t>
      </w:r>
    </w:p>
    <w:p w14:paraId="26E0AFEC" w14:textId="20BDD270" w:rsidR="00941213" w:rsidRPr="00226AD5" w:rsidRDefault="00000000" w:rsidP="00226AD5">
      <w:pPr>
        <w:pStyle w:val="MdParagraph"/>
        <w:jc w:val="both"/>
        <w:rPr>
          <w:rFonts w:ascii="Verdana" w:hAnsi="Verdana"/>
          <w:sz w:val="20"/>
          <w:szCs w:val="20"/>
        </w:rPr>
      </w:pPr>
      <w:r w:rsidRPr="00226AD5">
        <w:rPr>
          <w:rFonts w:ascii="Verdana" w:hAnsi="Verdana"/>
          <w:sz w:val="20"/>
          <w:szCs w:val="20"/>
        </w:rPr>
        <w:t xml:space="preserve">Ante o exposto, resta demonstrado que a adoção da </w:t>
      </w:r>
      <w:r w:rsidRPr="00226AD5">
        <w:rPr>
          <w:rStyle w:val="MdStrong"/>
          <w:rFonts w:ascii="Verdana" w:hAnsi="Verdana"/>
          <w:sz w:val="20"/>
          <w:szCs w:val="20"/>
        </w:rPr>
        <w:t>forma presencial</w:t>
      </w:r>
      <w:r w:rsidRPr="00226AD5">
        <w:rPr>
          <w:rFonts w:ascii="Verdana" w:hAnsi="Verdana"/>
          <w:sz w:val="20"/>
          <w:szCs w:val="20"/>
        </w:rPr>
        <w:t xml:space="preserve"> para a modalidade </w:t>
      </w:r>
      <w:r w:rsidRPr="00226AD5">
        <w:rPr>
          <w:rStyle w:val="MdStrong"/>
          <w:rFonts w:ascii="Verdana" w:hAnsi="Verdana"/>
          <w:sz w:val="20"/>
          <w:szCs w:val="20"/>
        </w:rPr>
        <w:t>Concorrência</w:t>
      </w:r>
      <w:r w:rsidRPr="00226AD5">
        <w:rPr>
          <w:rFonts w:ascii="Verdana" w:hAnsi="Verdana"/>
          <w:sz w:val="20"/>
          <w:szCs w:val="20"/>
        </w:rPr>
        <w:t xml:space="preserve"> é a medida que melhor atende aos </w:t>
      </w:r>
      <w:r w:rsidRPr="00226AD5">
        <w:rPr>
          <w:rStyle w:val="MdStrong"/>
          <w:rFonts w:ascii="Verdana" w:hAnsi="Verdana"/>
          <w:sz w:val="20"/>
          <w:szCs w:val="20"/>
        </w:rPr>
        <w:t>Princípios da Eficiência, da Razoabilidade e da Supremacia do Interesse Público</w:t>
      </w:r>
      <w:r w:rsidRPr="00226AD5">
        <w:rPr>
          <w:rFonts w:ascii="Verdana" w:hAnsi="Verdana"/>
          <w:sz w:val="20"/>
          <w:szCs w:val="20"/>
        </w:rPr>
        <w:t xml:space="preserve">. </w:t>
      </w:r>
    </w:p>
    <w:p w14:paraId="1B50A7E1" w14:textId="61191351" w:rsidR="00941213" w:rsidRPr="00226AD5" w:rsidRDefault="001E635C" w:rsidP="001E635C">
      <w:pPr>
        <w:pStyle w:val="MdParagraph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Por fim, a</w:t>
      </w:r>
      <w:r w:rsidRPr="00226AD5">
        <w:rPr>
          <w:rFonts w:ascii="Verdana" w:hAnsi="Verdana"/>
          <w:sz w:val="20"/>
          <w:szCs w:val="20"/>
        </w:rPr>
        <w:t xml:space="preserve"> escolha fundamenta-se na necessidade imperiosa de garantir que a empresa selecionada possua não apenas capacidade financeira para o pagamento da outorga, mas, primordialmente, </w:t>
      </w:r>
      <w:r w:rsidRPr="00226AD5">
        <w:rPr>
          <w:rStyle w:val="MdStrong"/>
          <w:rFonts w:ascii="Verdana" w:hAnsi="Verdana"/>
          <w:sz w:val="20"/>
          <w:szCs w:val="20"/>
        </w:rPr>
        <w:t>capacidade técnico-operacional</w:t>
      </w:r>
      <w:r w:rsidRPr="00226AD5">
        <w:rPr>
          <w:rFonts w:ascii="Verdana" w:hAnsi="Verdana"/>
          <w:sz w:val="20"/>
          <w:szCs w:val="20"/>
        </w:rPr>
        <w:t xml:space="preserve"> para executar o objeto em data improrrogável, mitigando riscos de fracasso do evento comemorativo mais importante do calendário municipal.</w:t>
      </w:r>
    </w:p>
    <w:p w14:paraId="21388C4F" w14:textId="77777777" w:rsidR="001E635C" w:rsidRDefault="001E635C" w:rsidP="00226AD5">
      <w:pPr>
        <w:pStyle w:val="MdParagraph"/>
        <w:jc w:val="both"/>
        <w:rPr>
          <w:rFonts w:ascii="Verdana" w:hAnsi="Verdana"/>
          <w:sz w:val="20"/>
          <w:szCs w:val="20"/>
        </w:rPr>
      </w:pPr>
    </w:p>
    <w:p w14:paraId="79070465" w14:textId="4B0BDD60" w:rsidR="00941213" w:rsidRPr="00226AD5" w:rsidRDefault="00000000" w:rsidP="00226AD5">
      <w:pPr>
        <w:pStyle w:val="MdParagraph"/>
        <w:jc w:val="both"/>
        <w:rPr>
          <w:rFonts w:ascii="Verdana" w:hAnsi="Verdana"/>
          <w:sz w:val="20"/>
          <w:szCs w:val="20"/>
        </w:rPr>
      </w:pPr>
      <w:r w:rsidRPr="00226AD5">
        <w:rPr>
          <w:rFonts w:ascii="Verdana" w:hAnsi="Verdana"/>
          <w:sz w:val="20"/>
          <w:szCs w:val="20"/>
        </w:rPr>
        <w:t>São Gabriel da Palha/ES,</w:t>
      </w:r>
      <w:r w:rsidR="00226AD5">
        <w:rPr>
          <w:rFonts w:ascii="Verdana" w:hAnsi="Verdana"/>
          <w:sz w:val="20"/>
          <w:szCs w:val="20"/>
        </w:rPr>
        <w:t xml:space="preserve"> XX, xxxxxxx, 2026</w:t>
      </w:r>
      <w:r w:rsidRPr="00226AD5">
        <w:rPr>
          <w:rFonts w:ascii="Verdana" w:hAnsi="Verdana"/>
          <w:sz w:val="20"/>
          <w:szCs w:val="20"/>
        </w:rPr>
        <w:t>.</w:t>
      </w:r>
    </w:p>
    <w:p w14:paraId="3EB8BDA8" w14:textId="116B83C6" w:rsidR="001E635C" w:rsidRDefault="001E635C" w:rsidP="00226AD5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2F211BDA" w14:textId="1A04A19D" w:rsidR="00226AD5" w:rsidRDefault="00226AD5" w:rsidP="00226AD5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José Luiz Vial</w:t>
      </w:r>
    </w:p>
    <w:p w14:paraId="24364D4B" w14:textId="77777777" w:rsidR="00226AD5" w:rsidRDefault="00226AD5" w:rsidP="00226AD5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Secretária Municipal de Cultura e Arte</w:t>
      </w:r>
    </w:p>
    <w:p w14:paraId="739FD87A" w14:textId="523FFA94" w:rsidR="00941213" w:rsidRPr="00226AD5" w:rsidRDefault="00226AD5" w:rsidP="00226AD5">
      <w:pPr>
        <w:pStyle w:val="MdParagraph"/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sz w:val="20"/>
          <w:szCs w:val="20"/>
        </w:rPr>
        <w:t>Decreto nº ……./2026</w:t>
      </w:r>
    </w:p>
    <w:sectPr w:rsidR="00941213" w:rsidRPr="00226AD5" w:rsidSect="001E635C">
      <w:headerReference w:type="default" r:id="rId7"/>
      <w:pgSz w:w="11906" w:h="16838"/>
      <w:pgMar w:top="1440" w:right="1440" w:bottom="567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9BD65" w14:textId="77777777" w:rsidR="00590F8A" w:rsidRDefault="00590F8A" w:rsidP="00C55106">
      <w:r>
        <w:separator/>
      </w:r>
    </w:p>
  </w:endnote>
  <w:endnote w:type="continuationSeparator" w:id="0">
    <w:p w14:paraId="2E871AF9" w14:textId="77777777" w:rsidR="00590F8A" w:rsidRDefault="00590F8A" w:rsidP="00C551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08A2F" w14:textId="77777777" w:rsidR="00590F8A" w:rsidRDefault="00590F8A" w:rsidP="00C55106">
      <w:r>
        <w:separator/>
      </w:r>
    </w:p>
  </w:footnote>
  <w:footnote w:type="continuationSeparator" w:id="0">
    <w:p w14:paraId="789A86D9" w14:textId="77777777" w:rsidR="00590F8A" w:rsidRDefault="00590F8A" w:rsidP="00C551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C17C2" w14:textId="5323BC52" w:rsidR="009E0B41" w:rsidRDefault="009E0B41">
    <w:pPr>
      <w:pStyle w:val="Cabealho"/>
    </w:pPr>
    <w:r>
      <w:rPr>
        <w:rFonts w:ascii="Arial Narrow" w:hAnsi="Arial Narrow" w:cs="Arial Narrow"/>
        <w:b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7C50F2FF" wp14:editId="1CFC85CF">
          <wp:simplePos x="0" y="0"/>
          <wp:positionH relativeFrom="margin">
            <wp:align>center</wp:align>
          </wp:positionH>
          <wp:positionV relativeFrom="paragraph">
            <wp:posOffset>5080</wp:posOffset>
          </wp:positionV>
          <wp:extent cx="6018530" cy="648335"/>
          <wp:effectExtent l="0" t="0" r="1270" b="0"/>
          <wp:wrapNone/>
          <wp:docPr id="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8530" cy="648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1ACC75" w14:textId="23E3AF94" w:rsidR="009E0B41" w:rsidRDefault="009E0B41">
    <w:pPr>
      <w:pStyle w:val="Cabealho"/>
    </w:pPr>
  </w:p>
  <w:p w14:paraId="5B645281" w14:textId="77777777" w:rsidR="009E0B41" w:rsidRDefault="009E0B41">
    <w:pPr>
      <w:pStyle w:val="Cabealho"/>
    </w:pPr>
  </w:p>
  <w:p w14:paraId="3D0C2249" w14:textId="64643FA6" w:rsidR="009E0B41" w:rsidRDefault="009E0B41">
    <w:pPr>
      <w:pStyle w:val="Cabealho"/>
    </w:pPr>
  </w:p>
  <w:p w14:paraId="6B14D10B" w14:textId="7FE018C8" w:rsidR="00C55106" w:rsidRDefault="00C5510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3C51E6"/>
    <w:multiLevelType w:val="hybridMultilevel"/>
    <w:tmpl w:val="428A2848"/>
    <w:lvl w:ilvl="0" w:tplc="9BF48D80">
      <w:start w:val="1"/>
      <w:numFmt w:val="bullet"/>
      <w:lvlText w:val="●"/>
      <w:lvlJc w:val="left"/>
      <w:pPr>
        <w:ind w:left="720" w:hanging="360"/>
      </w:pPr>
    </w:lvl>
    <w:lvl w:ilvl="1" w:tplc="F878DC54">
      <w:start w:val="1"/>
      <w:numFmt w:val="bullet"/>
      <w:lvlText w:val="○"/>
      <w:lvlJc w:val="left"/>
      <w:pPr>
        <w:ind w:left="1440" w:hanging="360"/>
      </w:pPr>
    </w:lvl>
    <w:lvl w:ilvl="2" w:tplc="2CAADF58">
      <w:start w:val="1"/>
      <w:numFmt w:val="bullet"/>
      <w:lvlText w:val="■"/>
      <w:lvlJc w:val="left"/>
      <w:pPr>
        <w:ind w:left="2160" w:hanging="360"/>
      </w:pPr>
    </w:lvl>
    <w:lvl w:ilvl="3" w:tplc="DDB61FBA">
      <w:start w:val="1"/>
      <w:numFmt w:val="bullet"/>
      <w:lvlText w:val="●"/>
      <w:lvlJc w:val="left"/>
      <w:pPr>
        <w:ind w:left="2880" w:hanging="360"/>
      </w:pPr>
    </w:lvl>
    <w:lvl w:ilvl="4" w:tplc="861C5E04">
      <w:start w:val="1"/>
      <w:numFmt w:val="bullet"/>
      <w:lvlText w:val="○"/>
      <w:lvlJc w:val="left"/>
      <w:pPr>
        <w:ind w:left="3600" w:hanging="360"/>
      </w:pPr>
    </w:lvl>
    <w:lvl w:ilvl="5" w:tplc="4AB8F832">
      <w:start w:val="1"/>
      <w:numFmt w:val="bullet"/>
      <w:lvlText w:val="■"/>
      <w:lvlJc w:val="left"/>
      <w:pPr>
        <w:ind w:left="4320" w:hanging="360"/>
      </w:pPr>
    </w:lvl>
    <w:lvl w:ilvl="6" w:tplc="1CD229B6">
      <w:start w:val="1"/>
      <w:numFmt w:val="bullet"/>
      <w:lvlText w:val="●"/>
      <w:lvlJc w:val="left"/>
      <w:pPr>
        <w:ind w:left="5040" w:hanging="360"/>
      </w:pPr>
    </w:lvl>
    <w:lvl w:ilvl="7" w:tplc="B4EA0724">
      <w:start w:val="1"/>
      <w:numFmt w:val="bullet"/>
      <w:lvlText w:val="●"/>
      <w:lvlJc w:val="left"/>
      <w:pPr>
        <w:ind w:left="5760" w:hanging="360"/>
      </w:pPr>
    </w:lvl>
    <w:lvl w:ilvl="8" w:tplc="2C4CBC18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34584D5C"/>
    <w:multiLevelType w:val="multilevel"/>
    <w:tmpl w:val="3EE6632A"/>
    <w:lvl w:ilvl="0">
      <w:start w:val="1"/>
      <w:numFmt w:val="decimal"/>
      <w:lvlText w:val="%1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160" w:hanging="360"/>
      </w:pPr>
    </w:lvl>
    <w:lvl w:ilvl="3">
      <w:start w:val="1"/>
      <w:numFmt w:val="decimal"/>
      <w:lvlText w:val="%4)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decimal"/>
      <w:lvlText w:val="%6)"/>
      <w:lvlJc w:val="left"/>
      <w:pPr>
        <w:ind w:left="4320" w:hanging="360"/>
      </w:pPr>
    </w:lvl>
    <w:lvl w:ilvl="6">
      <w:start w:val="1"/>
      <w:numFmt w:val="decimal"/>
      <w:lvlText w:val="%7)"/>
      <w:lvlJc w:val="left"/>
      <w:pPr>
        <w:ind w:left="5040" w:hanging="360"/>
      </w:pPr>
    </w:lvl>
    <w:lvl w:ilvl="7">
      <w:start w:val="1"/>
      <w:numFmt w:val="decimal"/>
      <w:lvlText w:val="%8)"/>
      <w:lvlJc w:val="left"/>
      <w:pPr>
        <w:ind w:left="5760" w:hanging="360"/>
      </w:pPr>
    </w:lvl>
    <w:lvl w:ilvl="8">
      <w:start w:val="1"/>
      <w:numFmt w:val="decimal"/>
      <w:lvlText w:val="%9)"/>
      <w:lvlJc w:val="left"/>
      <w:pPr>
        <w:ind w:left="6480" w:hanging="360"/>
      </w:pPr>
    </w:lvl>
  </w:abstractNum>
  <w:abstractNum w:abstractNumId="2" w15:restartNumberingAfterBreak="0">
    <w:nsid w:val="46B07EB1"/>
    <w:multiLevelType w:val="hybridMultilevel"/>
    <w:tmpl w:val="44BC4C4E"/>
    <w:lvl w:ilvl="0" w:tplc="ADA4045C">
      <w:start w:val="1"/>
      <w:numFmt w:val="bullet"/>
      <w:lvlText w:val="•"/>
      <w:lvlJc w:val="left"/>
      <w:pPr>
        <w:ind w:left="720" w:hanging="360"/>
      </w:pPr>
    </w:lvl>
    <w:lvl w:ilvl="1" w:tplc="897E165A">
      <w:start w:val="1"/>
      <w:numFmt w:val="bullet"/>
      <w:lvlText w:val="◦"/>
      <w:lvlJc w:val="left"/>
      <w:pPr>
        <w:ind w:left="1440" w:hanging="360"/>
      </w:pPr>
    </w:lvl>
    <w:lvl w:ilvl="2" w:tplc="BFD4E1D4">
      <w:start w:val="1"/>
      <w:numFmt w:val="bullet"/>
      <w:lvlText w:val="•"/>
      <w:lvlJc w:val="left"/>
      <w:pPr>
        <w:ind w:left="2160" w:hanging="360"/>
      </w:pPr>
    </w:lvl>
    <w:lvl w:ilvl="3" w:tplc="31B43204">
      <w:start w:val="1"/>
      <w:numFmt w:val="bullet"/>
      <w:lvlText w:val="◦"/>
      <w:lvlJc w:val="left"/>
      <w:pPr>
        <w:ind w:left="2880" w:hanging="360"/>
      </w:pPr>
    </w:lvl>
    <w:lvl w:ilvl="4" w:tplc="0C462E0C">
      <w:start w:val="1"/>
      <w:numFmt w:val="bullet"/>
      <w:lvlText w:val="•"/>
      <w:lvlJc w:val="left"/>
      <w:pPr>
        <w:ind w:left="3600" w:hanging="360"/>
      </w:pPr>
    </w:lvl>
    <w:lvl w:ilvl="5" w:tplc="0A48DE70">
      <w:start w:val="1"/>
      <w:numFmt w:val="bullet"/>
      <w:lvlText w:val="◦"/>
      <w:lvlJc w:val="left"/>
      <w:pPr>
        <w:ind w:left="4320" w:hanging="360"/>
      </w:pPr>
    </w:lvl>
    <w:lvl w:ilvl="6" w:tplc="07604E6A">
      <w:start w:val="1"/>
      <w:numFmt w:val="bullet"/>
      <w:lvlText w:val="•"/>
      <w:lvlJc w:val="left"/>
      <w:pPr>
        <w:ind w:left="5040" w:hanging="360"/>
      </w:pPr>
    </w:lvl>
    <w:lvl w:ilvl="7" w:tplc="910AC138">
      <w:numFmt w:val="decimal"/>
      <w:lvlText w:val=""/>
      <w:lvlJc w:val="left"/>
    </w:lvl>
    <w:lvl w:ilvl="8" w:tplc="361AD292">
      <w:numFmt w:val="decimal"/>
      <w:lvlText w:val=""/>
      <w:lvlJc w:val="left"/>
    </w:lvl>
  </w:abstractNum>
  <w:abstractNum w:abstractNumId="3" w15:restartNumberingAfterBreak="0">
    <w:nsid w:val="4CF22DF8"/>
    <w:multiLevelType w:val="multilevel"/>
    <w:tmpl w:val="841453B8"/>
    <w:lvl w:ilvl="0">
      <w:start w:val="1"/>
      <w:numFmt w:val="bullet"/>
      <w:lvlText w:val=""/>
      <w:lvlJc w:val="left"/>
      <w:pPr>
        <w:tabs>
          <w:tab w:val="num" w:pos="709"/>
        </w:tabs>
        <w:ind w:lef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8"/>
        </w:tabs>
        <w:ind w:lef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7"/>
        </w:tabs>
        <w:ind w:lef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36"/>
        </w:tabs>
        <w:ind w:lef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45"/>
        </w:tabs>
        <w:ind w:lef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54"/>
        </w:tabs>
        <w:ind w:lef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63"/>
        </w:tabs>
        <w:ind w:lef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72"/>
        </w:tabs>
        <w:ind w:lef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81"/>
        </w:tabs>
        <w:ind w:left="6381" w:hanging="283"/>
      </w:pPr>
      <w:rPr>
        <w:rFonts w:ascii="Symbol" w:hAnsi="Symbol" w:cs="Symbol" w:hint="default"/>
      </w:rPr>
    </w:lvl>
  </w:abstractNum>
  <w:num w:numId="1" w16cid:durableId="1945727684">
    <w:abstractNumId w:val="0"/>
    <w:lvlOverride w:ilvl="0">
      <w:startOverride w:val="1"/>
    </w:lvlOverride>
  </w:num>
  <w:num w:numId="2" w16cid:durableId="1592660028">
    <w:abstractNumId w:val="1"/>
    <w:lvlOverride w:ilvl="0">
      <w:startOverride w:val="1"/>
    </w:lvlOverride>
  </w:num>
  <w:num w:numId="3" w16cid:durableId="351301915">
    <w:abstractNumId w:val="2"/>
    <w:lvlOverride w:ilvl="0">
      <w:startOverride w:val="1"/>
    </w:lvlOverride>
  </w:num>
  <w:num w:numId="4" w16cid:durableId="15148827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213"/>
    <w:rsid w:val="001E635C"/>
    <w:rsid w:val="00226AD5"/>
    <w:rsid w:val="002C3448"/>
    <w:rsid w:val="00337F24"/>
    <w:rsid w:val="00590F8A"/>
    <w:rsid w:val="00941213"/>
    <w:rsid w:val="009E0B41"/>
    <w:rsid w:val="00BA3791"/>
    <w:rsid w:val="00C55106"/>
    <w:rsid w:val="00CB0776"/>
    <w:rsid w:val="00CB1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497BE6"/>
  <w15:docId w15:val="{314F5E1D-D945-4C04-9353-DDAF61083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unhideWhenUsed/>
    <w:qFormat/>
    <w:pPr>
      <w:outlineLvl w:val="2"/>
    </w:pPr>
    <w:rPr>
      <w:color w:val="1F4D78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 w:color="0563C1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paragraph" w:customStyle="1" w:styleId="MdSpace">
    <w:name w:val="MdSpace"/>
    <w:qFormat/>
    <w:rPr>
      <w:sz w:val="12"/>
      <w:szCs w:val="12"/>
    </w:rPr>
  </w:style>
  <w:style w:type="paragraph" w:customStyle="1" w:styleId="MdCode">
    <w:name w:val="MdCode"/>
    <w:qFormat/>
    <w:pPr>
      <w:pBdr>
        <w:top w:val="single" w:sz="1" w:space="8" w:color="A5A5A5"/>
        <w:left w:val="single" w:sz="1" w:space="8" w:color="A5A5A5"/>
        <w:bottom w:val="single" w:sz="1" w:space="8" w:color="A5A5A5"/>
        <w:right w:val="single" w:sz="1" w:space="8" w:color="A5A5A5"/>
      </w:pBdr>
      <w:spacing w:before="200" w:after="200"/>
    </w:pPr>
    <w:rPr>
      <w:rFonts w:ascii="Courier New" w:eastAsia="Courier New" w:hAnsi="Courier New" w:cs="Courier New"/>
      <w:color w:val="70AD47"/>
      <w:sz w:val="22"/>
      <w:szCs w:val="22"/>
    </w:rPr>
  </w:style>
  <w:style w:type="paragraph" w:customStyle="1" w:styleId="MdHr">
    <w:name w:val="MdHr"/>
    <w:qFormat/>
    <w:pPr>
      <w:pBdr>
        <w:bottom w:val="single" w:sz="1" w:space="1" w:color="A5A5A5"/>
      </w:pBdr>
      <w:spacing w:before="240" w:after="240"/>
    </w:pPr>
  </w:style>
  <w:style w:type="paragraph" w:customStyle="1" w:styleId="MdBlockquote">
    <w:name w:val="MdBlockquote"/>
    <w:qFormat/>
    <w:pPr>
      <w:pBdr>
        <w:left w:val="single" w:sz="20" w:space="12" w:color="A5A5A5"/>
      </w:pBdr>
      <w:spacing w:before="200" w:after="200"/>
      <w:ind w:left="360"/>
    </w:pPr>
    <w:rPr>
      <w:i/>
      <w:iCs/>
      <w:color w:val="666666"/>
    </w:rPr>
  </w:style>
  <w:style w:type="paragraph" w:customStyle="1" w:styleId="MdHtml">
    <w:name w:val="MdHtml"/>
    <w:qFormat/>
    <w:rPr>
      <w:rFonts w:ascii="Courier New" w:eastAsia="Courier New" w:hAnsi="Courier New" w:cs="Courier New"/>
      <w:color w:val="ED7D31"/>
    </w:rPr>
  </w:style>
  <w:style w:type="paragraph" w:customStyle="1" w:styleId="MdDef">
    <w:name w:val="MdDef"/>
    <w:qFormat/>
    <w:pPr>
      <w:ind w:left="720" w:hanging="360"/>
    </w:pPr>
  </w:style>
  <w:style w:type="paragraph" w:customStyle="1" w:styleId="MdParagraph">
    <w:name w:val="MdParagraph"/>
    <w:qFormat/>
    <w:pPr>
      <w:spacing w:before="120" w:after="120"/>
    </w:pPr>
  </w:style>
  <w:style w:type="paragraph" w:customStyle="1" w:styleId="MdText">
    <w:name w:val="MdText"/>
    <w:qFormat/>
  </w:style>
  <w:style w:type="paragraph" w:customStyle="1" w:styleId="MdFootnote">
    <w:name w:val="MdFootnote"/>
    <w:qFormat/>
    <w:rPr>
      <w:vertAlign w:val="superscript"/>
    </w:rPr>
  </w:style>
  <w:style w:type="paragraph" w:customStyle="1" w:styleId="MdListItem">
    <w:name w:val="MdListItem"/>
    <w:qFormat/>
    <w:pPr>
      <w:spacing w:before="60" w:after="60"/>
      <w:ind w:left="720" w:hanging="360"/>
    </w:pPr>
  </w:style>
  <w:style w:type="paragraph" w:customStyle="1" w:styleId="MdTable">
    <w:name w:val="MdTable"/>
    <w:qFormat/>
    <w:pPr>
      <w:spacing w:before="60" w:after="60"/>
    </w:pPr>
  </w:style>
  <w:style w:type="paragraph" w:customStyle="1" w:styleId="MdTableHeader">
    <w:name w:val="MdTableHeader"/>
    <w:qFormat/>
    <w:pPr>
      <w:spacing w:before="60" w:after="60"/>
    </w:pPr>
    <w:rPr>
      <w:b/>
      <w:bCs/>
      <w:sz w:val="22"/>
      <w:szCs w:val="22"/>
    </w:rPr>
  </w:style>
  <w:style w:type="paragraph" w:customStyle="1" w:styleId="MdTableCell">
    <w:name w:val="MdTableCell"/>
    <w:qFormat/>
    <w:pPr>
      <w:spacing w:before="40" w:after="40"/>
    </w:pPr>
    <w:rPr>
      <w:sz w:val="20"/>
      <w:szCs w:val="20"/>
    </w:rPr>
  </w:style>
  <w:style w:type="paragraph" w:customStyle="1" w:styleId="MdHeading1">
    <w:name w:val="MdHeading1"/>
    <w:qFormat/>
    <w:pPr>
      <w:keepNext/>
      <w:spacing w:before="480" w:after="240"/>
      <w:outlineLvl w:val="0"/>
    </w:pPr>
    <w:rPr>
      <w:b/>
      <w:bCs/>
      <w:sz w:val="36"/>
      <w:szCs w:val="36"/>
    </w:rPr>
  </w:style>
  <w:style w:type="paragraph" w:customStyle="1" w:styleId="MdHeading2">
    <w:name w:val="MdHeading2"/>
    <w:qFormat/>
    <w:pPr>
      <w:keepNext/>
      <w:spacing w:before="400" w:after="200"/>
      <w:outlineLvl w:val="1"/>
    </w:pPr>
    <w:rPr>
      <w:b/>
      <w:bCs/>
      <w:sz w:val="32"/>
      <w:szCs w:val="32"/>
    </w:rPr>
  </w:style>
  <w:style w:type="paragraph" w:customStyle="1" w:styleId="MdHeading3">
    <w:name w:val="MdHeading3"/>
    <w:qFormat/>
    <w:pPr>
      <w:keepNext/>
      <w:spacing w:before="320" w:after="160"/>
      <w:outlineLvl w:val="2"/>
    </w:pPr>
    <w:rPr>
      <w:b/>
      <w:bCs/>
      <w:sz w:val="28"/>
      <w:szCs w:val="28"/>
    </w:rPr>
  </w:style>
  <w:style w:type="paragraph" w:customStyle="1" w:styleId="MdHeading4">
    <w:name w:val="MdHeading4"/>
    <w:qFormat/>
    <w:pPr>
      <w:keepNext/>
      <w:spacing w:before="280" w:after="140"/>
      <w:outlineLvl w:val="3"/>
    </w:pPr>
    <w:rPr>
      <w:b/>
      <w:bCs/>
      <w:sz w:val="26"/>
      <w:szCs w:val="26"/>
    </w:rPr>
  </w:style>
  <w:style w:type="paragraph" w:customStyle="1" w:styleId="MdHeading5">
    <w:name w:val="MdHeading5"/>
    <w:qFormat/>
    <w:pPr>
      <w:keepNext/>
      <w:spacing w:before="240" w:after="120"/>
      <w:outlineLvl w:val="4"/>
    </w:pPr>
    <w:rPr>
      <w:b/>
      <w:bCs/>
      <w:i/>
      <w:iCs/>
    </w:rPr>
  </w:style>
  <w:style w:type="paragraph" w:customStyle="1" w:styleId="MdHeading6">
    <w:name w:val="MdHeading6"/>
    <w:qFormat/>
    <w:pPr>
      <w:keepNext/>
      <w:spacing w:before="240" w:after="120"/>
      <w:outlineLvl w:val="5"/>
    </w:pPr>
    <w:rPr>
      <w:i/>
      <w:iCs/>
    </w:rPr>
  </w:style>
  <w:style w:type="character" w:customStyle="1" w:styleId="MdTag">
    <w:name w:val="MdTag"/>
    <w:uiPriority w:val="99"/>
    <w:unhideWhenUsed/>
    <w:qFormat/>
    <w:rPr>
      <w:rFonts w:ascii="Courier New" w:eastAsia="Courier New" w:hAnsi="Courier New" w:cs="Courier New"/>
      <w:color w:val="ED7D31"/>
    </w:rPr>
  </w:style>
  <w:style w:type="character" w:customStyle="1" w:styleId="MdLink">
    <w:name w:val="MdLink"/>
    <w:uiPriority w:val="99"/>
    <w:unhideWhenUsed/>
    <w:qFormat/>
    <w:rPr>
      <w:color w:val="0563C1"/>
      <w:u w:val="single"/>
    </w:rPr>
  </w:style>
  <w:style w:type="character" w:customStyle="1" w:styleId="MdStrong">
    <w:name w:val="MdStrong"/>
    <w:uiPriority w:val="99"/>
    <w:unhideWhenUsed/>
    <w:qFormat/>
    <w:rPr>
      <w:b/>
      <w:bCs/>
    </w:rPr>
  </w:style>
  <w:style w:type="character" w:customStyle="1" w:styleId="MdEm">
    <w:name w:val="MdEm"/>
    <w:uiPriority w:val="99"/>
    <w:unhideWhenUsed/>
    <w:qFormat/>
    <w:rPr>
      <w:i/>
      <w:iCs/>
    </w:rPr>
  </w:style>
  <w:style w:type="character" w:customStyle="1" w:styleId="MdCodespan">
    <w:name w:val="MdCodespan"/>
    <w:uiPriority w:val="99"/>
    <w:unhideWhenUsed/>
    <w:qFormat/>
    <w:rPr>
      <w:rFonts w:ascii="Courier New" w:eastAsia="Courier New" w:hAnsi="Courier New" w:cs="Courier New"/>
      <w:color w:val="70AD47"/>
    </w:rPr>
  </w:style>
  <w:style w:type="character" w:customStyle="1" w:styleId="MdDel">
    <w:name w:val="MdDel"/>
    <w:uiPriority w:val="99"/>
    <w:unhideWhenUsed/>
    <w:qFormat/>
    <w:rPr>
      <w:strike/>
    </w:rPr>
  </w:style>
  <w:style w:type="character" w:customStyle="1" w:styleId="MdBr">
    <w:name w:val="MdBr"/>
    <w:uiPriority w:val="99"/>
    <w:unhideWhenUsed/>
    <w:qFormat/>
  </w:style>
  <w:style w:type="paragraph" w:styleId="Cabealho">
    <w:name w:val="header"/>
    <w:basedOn w:val="Normal"/>
    <w:link w:val="CabealhoChar"/>
    <w:rsid w:val="00226AD5"/>
    <w:pPr>
      <w:suppressLineNumbers/>
      <w:tabs>
        <w:tab w:val="center" w:pos="4819"/>
        <w:tab w:val="right" w:pos="9638"/>
      </w:tabs>
      <w:suppressAutoHyphens/>
      <w:autoSpaceDN w:val="0"/>
      <w:textAlignment w:val="baseline"/>
    </w:pPr>
    <w:rPr>
      <w:rFonts w:ascii="Liberation Serif" w:eastAsia="NSimSun" w:hAnsi="Liberation Serif" w:cs="Arial"/>
      <w:kern w:val="3"/>
      <w:lang w:eastAsia="zh-CN" w:bidi="hi-IN"/>
    </w:rPr>
  </w:style>
  <w:style w:type="character" w:customStyle="1" w:styleId="CabealhoChar">
    <w:name w:val="Cabeçalho Char"/>
    <w:basedOn w:val="Fontepargpadro"/>
    <w:link w:val="Cabealho"/>
    <w:qFormat/>
    <w:rsid w:val="00226AD5"/>
    <w:rPr>
      <w:rFonts w:ascii="Liberation Serif" w:eastAsia="NSimSun" w:hAnsi="Liberation Serif" w:cs="Arial"/>
      <w:kern w:val="3"/>
      <w:lang w:eastAsia="zh-CN" w:bidi="hi-IN"/>
    </w:rPr>
  </w:style>
  <w:style w:type="character" w:styleId="Forte">
    <w:name w:val="Strong"/>
    <w:qFormat/>
    <w:rsid w:val="001E635C"/>
    <w:rPr>
      <w:b/>
      <w:bCs/>
    </w:rPr>
  </w:style>
  <w:style w:type="paragraph" w:styleId="Corpodetexto">
    <w:name w:val="Body Text"/>
    <w:basedOn w:val="Normal"/>
    <w:link w:val="CorpodetextoChar"/>
    <w:rsid w:val="001E635C"/>
    <w:pPr>
      <w:suppressAutoHyphens/>
      <w:spacing w:before="280" w:after="280"/>
    </w:pPr>
  </w:style>
  <w:style w:type="character" w:customStyle="1" w:styleId="CorpodetextoChar">
    <w:name w:val="Corpo de texto Char"/>
    <w:basedOn w:val="Fontepargpadro"/>
    <w:link w:val="Corpodetexto"/>
    <w:rsid w:val="001E635C"/>
  </w:style>
  <w:style w:type="paragraph" w:styleId="Rodap">
    <w:name w:val="footer"/>
    <w:basedOn w:val="Normal"/>
    <w:link w:val="RodapChar"/>
    <w:uiPriority w:val="99"/>
    <w:unhideWhenUsed/>
    <w:rsid w:val="00C5510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551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837</Words>
  <Characters>4523</Characters>
  <Application>Microsoft Office Word</Application>
  <DocSecurity>0</DocSecurity>
  <Lines>37</Lines>
  <Paragraphs>10</Paragraphs>
  <ScaleCrop>false</ScaleCrop>
  <Company/>
  <LinksUpToDate>false</LinksUpToDate>
  <CharactersWithSpaces>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Converted Document</dc:title>
  <dc:creator>md2docx converter</dc:creator>
  <dc:description>Converted from Markdown</dc:description>
  <cp:lastModifiedBy>Erliton de Mello Braz</cp:lastModifiedBy>
  <cp:revision>9</cp:revision>
  <cp:lastPrinted>2026-04-06T17:38:00Z</cp:lastPrinted>
  <dcterms:created xsi:type="dcterms:W3CDTF">2026-03-23T19:14:00Z</dcterms:created>
  <dcterms:modified xsi:type="dcterms:W3CDTF">2026-04-06T17:38:00Z</dcterms:modified>
</cp:coreProperties>
</file>